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2B" w:rsidRDefault="0089582B" w:rsidP="0089582B">
      <w:pPr>
        <w:ind w:left="-1276"/>
        <w:jc w:val="center"/>
        <w:rPr>
          <w:b/>
          <w:bCs/>
          <w:color w:val="000080"/>
          <w:sz w:val="36"/>
          <w:szCs w:val="36"/>
          <w:lang w:val="es-EC"/>
        </w:rPr>
      </w:pPr>
      <w:bookmarkStart w:id="0" w:name="_GoBack"/>
      <w:bookmarkEnd w:id="0"/>
      <w:r>
        <w:rPr>
          <w:b/>
          <w:bCs/>
          <w:noProof/>
          <w:color w:val="000080"/>
          <w:sz w:val="36"/>
          <w:szCs w:val="36"/>
          <w:lang w:val="es-EC" w:eastAsia="es-EC"/>
        </w:rPr>
        <w:drawing>
          <wp:anchor distT="0" distB="0" distL="114300" distR="114300" simplePos="0" relativeHeight="251659264" behindDoc="1" locked="0" layoutInCell="1" allowOverlap="1" wp14:anchorId="6E9249D2" wp14:editId="7D26FB77">
            <wp:simplePos x="0" y="0"/>
            <wp:positionH relativeFrom="column">
              <wp:posOffset>-470535</wp:posOffset>
            </wp:positionH>
            <wp:positionV relativeFrom="paragraph">
              <wp:posOffset>81915</wp:posOffset>
            </wp:positionV>
            <wp:extent cx="1084580" cy="684530"/>
            <wp:effectExtent l="0" t="0" r="1270" b="1270"/>
            <wp:wrapNone/>
            <wp:docPr id="2" name="Imagen 2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-20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82B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89582B" w:rsidRPr="00AA5F12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  <w:r>
        <w:rPr>
          <w:b/>
          <w:bCs/>
          <w:color w:val="000080"/>
          <w:sz w:val="28"/>
          <w:szCs w:val="28"/>
          <w:lang w:val="es-EC"/>
        </w:rPr>
        <w:t xml:space="preserve">                    </w:t>
      </w:r>
      <w:r w:rsidRPr="00AA5F12">
        <w:rPr>
          <w:b/>
          <w:bCs/>
          <w:color w:val="000080"/>
          <w:sz w:val="28"/>
          <w:szCs w:val="28"/>
          <w:lang w:val="es-EC"/>
        </w:rPr>
        <w:t>UNIDAD EDUCATIVA MONTE TABOR - NAZARET</w:t>
      </w:r>
    </w:p>
    <w:tbl>
      <w:tblPr>
        <w:tblpPr w:leftFromText="141" w:rightFromText="141" w:vertAnchor="text" w:horzAnchor="margin" w:tblpXSpec="center" w:tblpY="254"/>
        <w:tblW w:w="1027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3260"/>
      </w:tblGrid>
      <w:tr w:rsidR="0089582B" w:rsidRPr="00AA5F12" w:rsidTr="00E63778">
        <w:trPr>
          <w:cantSplit/>
          <w:trHeight w:hRule="exact" w:val="100"/>
        </w:trPr>
        <w:tc>
          <w:tcPr>
            <w:tcW w:w="7016" w:type="dxa"/>
            <w:tcBorders>
              <w:bottom w:val="single" w:sz="4" w:space="0" w:color="auto"/>
            </w:tcBorders>
            <w:vAlign w:val="center"/>
          </w:tcPr>
          <w:p w:rsidR="0089582B" w:rsidRPr="00BB13AE" w:rsidRDefault="0089582B" w:rsidP="00E63778">
            <w:pPr>
              <w:ind w:left="-1276"/>
              <w:jc w:val="right"/>
              <w:rPr>
                <w:rFonts w:cs="Times New Roman"/>
                <w:b/>
                <w:bCs/>
                <w:color w:val="00008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9582B" w:rsidRPr="00AA5F12" w:rsidRDefault="0089582B" w:rsidP="00E63778">
            <w:pPr>
              <w:spacing w:before="40"/>
              <w:ind w:left="-362" w:right="-70"/>
              <w:jc w:val="right"/>
              <w:rPr>
                <w:rFonts w:cs="Times New Roman"/>
                <w:color w:val="000080"/>
                <w:lang w:val="es-EC"/>
              </w:rPr>
            </w:pPr>
          </w:p>
        </w:tc>
      </w:tr>
    </w:tbl>
    <w:p w:rsidR="0089582B" w:rsidRPr="00D005C0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89582B" w:rsidRPr="006E5102" w:rsidRDefault="0089582B" w:rsidP="00895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TEMARIOS PARA EXAMEN DE MATEMÁTICA DE  II QM </w:t>
      </w:r>
    </w:p>
    <w:p w:rsidR="0089582B" w:rsidRDefault="0089582B" w:rsidP="0089582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2015 – 2016</w:t>
      </w:r>
    </w:p>
    <w:p w:rsidR="0089582B" w:rsidRPr="00862DDD" w:rsidRDefault="0089582B" w:rsidP="00895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9no EGB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367"/>
      </w:tblGrid>
      <w:tr w:rsidR="0089582B" w:rsidRPr="007A1A5B" w:rsidTr="00E63778">
        <w:trPr>
          <w:trHeight w:val="354"/>
        </w:trPr>
        <w:tc>
          <w:tcPr>
            <w:tcW w:w="5353" w:type="dxa"/>
            <w:vAlign w:val="center"/>
          </w:tcPr>
          <w:p w:rsidR="0089582B" w:rsidRPr="007A1A5B" w:rsidRDefault="0089582B" w:rsidP="00E63778">
            <w:pPr>
              <w:jc w:val="center"/>
              <w:rPr>
                <w:b/>
                <w:bCs/>
                <w:sz w:val="24"/>
                <w:szCs w:val="24"/>
              </w:rPr>
            </w:pPr>
            <w:r w:rsidRPr="007A1A5B">
              <w:rPr>
                <w:b/>
                <w:bCs/>
                <w:sz w:val="24"/>
                <w:szCs w:val="24"/>
              </w:rPr>
              <w:t>Temas de estudio</w:t>
            </w:r>
          </w:p>
        </w:tc>
        <w:tc>
          <w:tcPr>
            <w:tcW w:w="3367" w:type="dxa"/>
            <w:vAlign w:val="center"/>
          </w:tcPr>
          <w:p w:rsidR="0089582B" w:rsidRPr="007A1A5B" w:rsidRDefault="0089582B" w:rsidP="00E63778">
            <w:pPr>
              <w:jc w:val="center"/>
              <w:rPr>
                <w:b/>
                <w:bCs/>
                <w:sz w:val="24"/>
                <w:szCs w:val="24"/>
              </w:rPr>
            </w:pPr>
            <w:r w:rsidRPr="007A1A5B">
              <w:rPr>
                <w:b/>
                <w:bCs/>
                <w:sz w:val="24"/>
                <w:szCs w:val="24"/>
              </w:rPr>
              <w:t>Material</w:t>
            </w:r>
          </w:p>
        </w:tc>
      </w:tr>
      <w:tr w:rsidR="0089582B" w:rsidRPr="00283A44" w:rsidTr="00E63778">
        <w:tc>
          <w:tcPr>
            <w:tcW w:w="5353" w:type="dxa"/>
          </w:tcPr>
          <w:p w:rsidR="0089582B" w:rsidRDefault="0089582B" w:rsidP="0089582B">
            <w:pPr>
              <w:spacing w:line="276" w:lineRule="auto"/>
              <w:jc w:val="both"/>
              <w:rPr>
                <w:lang w:val="es-EC"/>
              </w:rPr>
            </w:pPr>
            <w:r w:rsidRPr="0089582B">
              <w:rPr>
                <w:b/>
                <w:lang w:val="es-EC"/>
              </w:rPr>
              <w:t>Ecuaciones E Inecuaciones</w:t>
            </w:r>
          </w:p>
          <w:p w:rsidR="0089582B" w:rsidRDefault="0089582B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 w:rsidRPr="0089582B">
              <w:t>Transformaciones de equivalencia de ecuaciones</w:t>
            </w:r>
          </w:p>
          <w:p w:rsidR="0089582B" w:rsidRDefault="0089582B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Resolucion de ecuaciones con soluciones racionales</w:t>
            </w:r>
          </w:p>
          <w:p w:rsidR="0089582B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Ecuaciones Literales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Aplicaciones de ecuaciones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Inecuaciones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Material Complementario</w:t>
            </w:r>
          </w:p>
          <w:p w:rsidR="00DE2E07" w:rsidRPr="0089582B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 xml:space="preserve">Autoevaluacion </w:t>
            </w: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  <w:r>
              <w:rPr>
                <w:b/>
                <w:lang w:val="es-EC"/>
              </w:rPr>
              <w:t xml:space="preserve">Función Lineal </w:t>
            </w:r>
          </w:p>
          <w:p w:rsidR="0089582B" w:rsidRPr="007A1A5B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Pr="00115A9D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</w:t>
            </w:r>
            <w:r>
              <w:t>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Graficos de Funciones</w:t>
            </w:r>
            <w:r>
              <w:t>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 Directamente Proporcionales</w:t>
            </w:r>
            <w:r>
              <w:t>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 Lineales</w:t>
            </w:r>
            <w:r>
              <w:t>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Determinacionde Funciones Lineales</w:t>
            </w:r>
            <w:r>
              <w:t>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Ecuaciones y Funciones Lineales</w:t>
            </w:r>
            <w:r>
              <w:t>.</w:t>
            </w:r>
          </w:p>
          <w:p w:rsidR="0089582B" w:rsidRPr="00775C14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775C14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775C14" w:rsidRDefault="0089582B" w:rsidP="00E63778">
            <w:pPr>
              <w:pStyle w:val="Prrafodelista"/>
              <w:spacing w:after="0" w:line="276" w:lineRule="auto"/>
              <w:ind w:left="0" w:firstLine="0"/>
              <w:rPr>
                <w:rFonts w:ascii="Arial" w:hAnsi="Arial" w:cs="Arial"/>
                <w:b/>
                <w:sz w:val="20"/>
                <w:vertAlign w:val="baseline"/>
                <w:lang w:val="es-EC"/>
              </w:rPr>
            </w:pPr>
            <w:r>
              <w:rPr>
                <w:rFonts w:ascii="Arial" w:hAnsi="Arial" w:cs="Arial"/>
                <w:b/>
                <w:sz w:val="20"/>
                <w:vertAlign w:val="baseline"/>
                <w:lang w:val="es-EC"/>
              </w:rPr>
              <w:t>Sistemas de Ecuaciones Lineales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Ecuaciones lineales con dos variables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.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Sistemas de Ecuaciones lineales con dos variables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.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 xml:space="preserve"> Método Gráfico de solución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.</w:t>
            </w:r>
          </w:p>
          <w:p w:rsidR="00DE2E07" w:rsidRPr="00DE2E07" w:rsidRDefault="0089582B" w:rsidP="00DE2E07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Método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 xml:space="preserve"> de Igualación.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Aplicaciones</w:t>
            </w: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.</w:t>
            </w:r>
          </w:p>
          <w:p w:rsidR="0089582B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89582B" w:rsidRDefault="0089582B" w:rsidP="0089582B">
            <w:pPr>
              <w:spacing w:line="276" w:lineRule="auto"/>
              <w:rPr>
                <w:rFonts w:cs="Times New Roman"/>
                <w:lang w:val="es-EC"/>
              </w:rPr>
            </w:pPr>
          </w:p>
        </w:tc>
        <w:tc>
          <w:tcPr>
            <w:tcW w:w="3367" w:type="dxa"/>
          </w:tcPr>
          <w:p w:rsidR="0089582B" w:rsidRPr="00DE2E07" w:rsidRDefault="00DE2E07" w:rsidP="0089582B">
            <w:pPr>
              <w:spacing w:line="276" w:lineRule="auto"/>
              <w:rPr>
                <w:rFonts w:cs="Times New Roman"/>
                <w:b/>
                <w:lang w:val="es-EC"/>
              </w:rPr>
            </w:pPr>
            <w:r w:rsidRPr="00DE2E07">
              <w:rPr>
                <w:rFonts w:cs="Times New Roman"/>
                <w:b/>
                <w:lang w:val="es-EC"/>
              </w:rPr>
              <w:t>MPT 2 Secundaria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66 hasta 67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68 hasta 70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71 hasta 73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74 hasta 77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81 hasta 82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83 hasta 85</w:t>
            </w:r>
          </w:p>
          <w:p w:rsid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87</w:t>
            </w:r>
          </w:p>
          <w:p w:rsidR="00DE2E07" w:rsidRDefault="00DE2E07" w:rsidP="00DE2E07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cuaderno.</w:t>
            </w:r>
          </w:p>
          <w:p w:rsidR="00DE2E07" w:rsidRDefault="00DE2E07" w:rsidP="00DE2E07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AGC, AIC, TAI.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7A1A5B" w:rsidRDefault="0089582B" w:rsidP="00E63778">
            <w:pPr>
              <w:spacing w:line="276" w:lineRule="auto"/>
              <w:rPr>
                <w:rFonts w:cs="Times New Roman"/>
                <w:b/>
                <w:lang w:val="es-EC"/>
              </w:rPr>
            </w:pPr>
            <w:r>
              <w:rPr>
                <w:rFonts w:cs="Times New Roman"/>
                <w:b/>
                <w:lang w:val="es-EC"/>
              </w:rPr>
              <w:t>MPT 2</w:t>
            </w:r>
            <w:r w:rsidRPr="007A1A5B">
              <w:rPr>
                <w:rFonts w:cs="Times New Roman"/>
                <w:b/>
                <w:lang w:val="es-EC"/>
              </w:rPr>
              <w:t xml:space="preserve"> Secundaria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134 hasta 135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136 hasta 137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138 hasta 139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140 hasta 143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144 hasta 145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146 hasta 148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Autoevaluación Pág. 149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cuaderno.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AGC, AIC, TAI.</w:t>
            </w:r>
          </w:p>
          <w:p w:rsidR="0089582B" w:rsidRDefault="0089582B" w:rsidP="00E63778">
            <w:pPr>
              <w:rPr>
                <w:rFonts w:cs="Times New Roman"/>
                <w:lang w:val="es-EC"/>
              </w:rPr>
            </w:pPr>
          </w:p>
          <w:p w:rsid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DE2E07" w:rsidRDefault="00DE2E07" w:rsidP="00E63778">
            <w:pPr>
              <w:spacing w:line="276" w:lineRule="auto"/>
              <w:rPr>
                <w:rFonts w:cs="Times New Roman"/>
                <w:b/>
                <w:lang w:val="es-EC"/>
              </w:rPr>
            </w:pPr>
            <w:r w:rsidRPr="00DE2E07">
              <w:rPr>
                <w:rFonts w:cs="Times New Roman"/>
                <w:b/>
                <w:lang w:val="es-EC"/>
              </w:rPr>
              <w:t>MPT 2 Secundaria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150 hasta 151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152 hasta 153</w:t>
            </w:r>
          </w:p>
          <w:p w:rsidR="0089582B" w:rsidRDefault="0089582B" w:rsidP="0089582B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154 hasta 157</w:t>
            </w:r>
          </w:p>
          <w:p w:rsidR="00DE2E07" w:rsidRDefault="00DE2E07" w:rsidP="0089582B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162</w:t>
            </w:r>
          </w:p>
          <w:p w:rsidR="0089582B" w:rsidRDefault="0089582B" w:rsidP="00E63778">
            <w:pPr>
              <w:spacing w:before="240"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Autoevaluación Pág. 167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cuaderno, más AIC, AGC y TAI archivados en su carpeta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Ejercicios desarrollados en cuaderno.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283A44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</w:tc>
      </w:tr>
    </w:tbl>
    <w:p w:rsidR="0089582B" w:rsidRDefault="0089582B" w:rsidP="0089582B">
      <w:pPr>
        <w:rPr>
          <w:b/>
          <w:bCs/>
          <w:sz w:val="16"/>
          <w:szCs w:val="16"/>
        </w:rPr>
      </w:pPr>
    </w:p>
    <w:p w:rsidR="0089582B" w:rsidRPr="00E33033" w:rsidRDefault="0089582B" w:rsidP="0089582B">
      <w:pPr>
        <w:rPr>
          <w:lang w:val="es-EC"/>
        </w:rPr>
      </w:pPr>
    </w:p>
    <w:p w:rsidR="0089582B" w:rsidRDefault="0089582B" w:rsidP="0089582B">
      <w:pPr>
        <w:rPr>
          <w:b/>
          <w:bCs/>
          <w:color w:val="000080"/>
          <w:sz w:val="36"/>
          <w:szCs w:val="36"/>
          <w:lang w:val="es-EC"/>
        </w:rPr>
      </w:pPr>
    </w:p>
    <w:p w:rsidR="001A2226" w:rsidRDefault="001A2226"/>
    <w:sectPr w:rsidR="001A2226" w:rsidSect="008E2604">
      <w:pgSz w:w="11906" w:h="16838"/>
      <w:pgMar w:top="426" w:right="1701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E161E"/>
    <w:multiLevelType w:val="hybridMultilevel"/>
    <w:tmpl w:val="69D0C0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8355E"/>
    <w:multiLevelType w:val="hybridMultilevel"/>
    <w:tmpl w:val="3CB20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2B"/>
    <w:rsid w:val="001A2226"/>
    <w:rsid w:val="0089582B"/>
    <w:rsid w:val="00DE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4F579-4731-4A48-8EDC-C3B27BA1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8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Batang" w:hAnsi="Arial" w:cs="Arial"/>
      <w:sz w:val="20"/>
      <w:szCs w:val="20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89582B"/>
    <w:pPr>
      <w:overflowPunct/>
      <w:autoSpaceDE/>
      <w:autoSpaceDN/>
      <w:adjustRightInd/>
      <w:spacing w:after="200" w:line="360" w:lineRule="auto"/>
      <w:ind w:left="720" w:firstLine="446"/>
      <w:contextualSpacing/>
      <w:jc w:val="both"/>
      <w:textAlignment w:val="auto"/>
    </w:pPr>
    <w:rPr>
      <w:rFonts w:ascii="TimesNewRomanPSMT" w:eastAsia="Calibri" w:hAnsi="TimesNewRomanPSMT" w:cs="TimesNewRomanPSMT"/>
      <w:sz w:val="28"/>
      <w:szCs w:val="28"/>
      <w:vertAlign w:val="subscrip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2016-01-11T13:16:00Z</dcterms:created>
  <dcterms:modified xsi:type="dcterms:W3CDTF">2016-01-11T13:36:00Z</dcterms:modified>
</cp:coreProperties>
</file>